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41D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</w:t>
      </w:r>
    </w:p>
    <w:p w14:paraId="0F6047F9">
      <w:pPr>
        <w:widowControl/>
        <w:shd w:val="clear"/>
        <w:spacing w:line="460" w:lineRule="exact"/>
        <w:jc w:val="center"/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</w:pPr>
    </w:p>
    <w:p w14:paraId="05B99FFC">
      <w:pPr>
        <w:widowControl/>
        <w:shd w:val="clear"/>
        <w:spacing w:line="460" w:lineRule="exact"/>
        <w:jc w:val="center"/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科尔沁左翼后旗202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年公开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  <w:lang w:eastAsia="zh-CN"/>
        </w:rPr>
        <w:t>招聘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政府专职</w:t>
      </w:r>
    </w:p>
    <w:p w14:paraId="6BA6448E">
      <w:pPr>
        <w:widowControl/>
        <w:shd w:val="clear"/>
        <w:spacing w:line="460" w:lineRule="exact"/>
        <w:jc w:val="center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消防员体</w:t>
      </w:r>
      <w:r>
        <w:rPr>
          <w:rFonts w:hint="eastAsia" w:eastAsia="方正小标宋_GBK"/>
          <w:color w:val="auto"/>
          <w:kern w:val="0"/>
          <w:sz w:val="40"/>
          <w:szCs w:val="40"/>
          <w:highlight w:val="none"/>
          <w:lang w:val="en-US" w:eastAsia="zh-CN"/>
        </w:rPr>
        <w:t>技</w:t>
      </w:r>
      <w:r>
        <w:rPr>
          <w:rFonts w:hint="eastAsia" w:ascii="Times New Roman" w:hAnsi="Times New Roman" w:eastAsia="方正小标宋_GBK"/>
          <w:color w:val="auto"/>
          <w:kern w:val="0"/>
          <w:sz w:val="40"/>
          <w:szCs w:val="40"/>
          <w:highlight w:val="none"/>
        </w:rPr>
        <w:t>能测试评分标准</w:t>
      </w:r>
    </w:p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37"/>
        <w:gridCol w:w="737"/>
        <w:gridCol w:w="748"/>
      </w:tblGrid>
      <w:tr w14:paraId="700C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599BAA7E"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项   目</w:t>
            </w:r>
          </w:p>
        </w:tc>
        <w:tc>
          <w:tcPr>
            <w:tcW w:w="736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ADE5">
            <w:pPr>
              <w:shd w:val="clear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体技能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  <w:t>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78362F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D3DE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456976D"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FE28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F000"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3C6B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9074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F2D0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6F0F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C2DB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8AA3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7FBB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3DF6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/>
                <w:color w:val="auto"/>
                <w:spacing w:val="-1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楷体_GB2312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2CE053">
            <w:pPr>
              <w:widowControl/>
              <w:shd w:val="clear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C529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5CB97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1000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米跑</w:t>
            </w:r>
          </w:p>
          <w:p w14:paraId="13E57C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6D74">
            <w:pPr>
              <w:widowControl/>
              <w:shd w:val="clear"/>
              <w:adjustRightInd w:val="0"/>
              <w:snapToGrid w:val="0"/>
              <w:jc w:val="center"/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F18D">
            <w:pPr>
              <w:widowControl/>
              <w:shd w:val="clear"/>
              <w:adjustRightInd w:val="0"/>
              <w:snapToGrid w:val="0"/>
              <w:jc w:val="center"/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E838">
            <w:pPr>
              <w:shd w:val="clear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宋体"/>
                <w:color w:val="auto"/>
                <w:spacing w:val="-11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56F1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E2753">
            <w:pPr>
              <w:shd w:val="clear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宋体"/>
                <w:color w:val="auto"/>
                <w:spacing w:val="-11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ADD8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6CDF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ascii="Times New Roman" w:hAnsi="Times New Roman"/>
                <w:color w:val="auto"/>
                <w:spacing w:val="-11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92DD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11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E7A0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0D7C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方正仿宋_GBK" w:cs="宋体"/>
                <w:color w:val="auto"/>
                <w:spacing w:val="-11"/>
                <w:kern w:val="0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′</w:t>
            </w:r>
            <w:r>
              <w:rPr>
                <w:rFonts w:hint="eastAsia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/>
                <w:color w:val="auto"/>
                <w:spacing w:val="-11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604CAC9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083B6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3DD06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0D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38CB71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2.在跑道或平地上标出起点线，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从起点线处听到起跑口令后起跑，完成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000米距离到达终点线，记录时间。</w:t>
            </w:r>
          </w:p>
          <w:p w14:paraId="5C966C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99E6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F557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5" w:type="dxa"/>
            <w:vMerge w:val="restart"/>
            <w:vAlign w:val="center"/>
          </w:tcPr>
          <w:p w14:paraId="7D908E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单杠引体向上（次/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vAlign w:val="center"/>
          </w:tcPr>
          <w:p w14:paraId="088840A7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34" w:type="dxa"/>
            <w:gridSpan w:val="2"/>
            <w:vAlign w:val="center"/>
          </w:tcPr>
          <w:p w14:paraId="329763DF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14:paraId="2B548B93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14:paraId="7FE0432B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14:paraId="63256C4B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14:paraId="032F8A15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385E3625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460448BA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69" w:type="dxa"/>
            <w:gridSpan w:val="2"/>
            <w:vAlign w:val="center"/>
          </w:tcPr>
          <w:p w14:paraId="2E1B26F5">
            <w:pPr>
              <w:widowControl/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515D77">
            <w:pPr>
              <w:widowControl/>
              <w:shd w:val="clear"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6088F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7A9F6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705" w:type="dxa"/>
            <w:vMerge w:val="continue"/>
            <w:vAlign w:val="center"/>
          </w:tcPr>
          <w:p w14:paraId="68E39C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vAlign w:val="center"/>
          </w:tcPr>
          <w:p w14:paraId="15B8694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4E6DAB9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ascii="Times New Roman" w:hAnsi="Times New Roman" w:eastAsia="方正仿宋_GBK"/>
                <w:color w:val="auto"/>
                <w:spacing w:val="-6"/>
                <w:sz w:val="24"/>
                <w:szCs w:val="24"/>
                <w:highlight w:val="none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2C1D26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3.考核以完成次数计算成绩。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05441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01A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05" w:type="dxa"/>
            <w:vMerge w:val="restart"/>
            <w:vAlign w:val="center"/>
          </w:tcPr>
          <w:p w14:paraId="0A2A5E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俯卧撑</w:t>
            </w: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 w14:paraId="4107F3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A3B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791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A6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444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675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D01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DD9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311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D1E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8135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2FB19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D0F2A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19"/>
            <w:tcBorders>
              <w:right w:val="single" w:color="auto" w:sz="4" w:space="0"/>
            </w:tcBorders>
            <w:vAlign w:val="center"/>
          </w:tcPr>
          <w:p w14:paraId="60DDB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FZFSK--GBK1-0" w:hAnsi="FZFSK--GBK1-0" w:eastAsia="宋体" w:cs="FZFSK--GBK1-0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FZFSK--GBK1-0" w:hAnsi="FZFSK--GBK1-0" w:eastAsia="FZFSK--GBK1-0" w:cs="FZFSK--GBK1-0"/>
                <w:b w:val="0"/>
                <w:bCs w:val="0"/>
                <w:color w:val="000000"/>
                <w:sz w:val="24"/>
                <w:szCs w:val="24"/>
                <w:highlight w:val="none"/>
              </w:rPr>
              <w:t>单个或分组考核。</w:t>
            </w:r>
          </w:p>
          <w:p w14:paraId="5B20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按照规定动作要领完成动作。屈臂时肩关节高于肘关节、伸臂时双肘关节未伸直、做动作时身体未保持平直，该次动作不计数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除手脚外身体其他部位触及地面，结束考核。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5A5D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2462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5" w:type="dxa"/>
            <w:vMerge w:val="restart"/>
            <w:vAlign w:val="center"/>
          </w:tcPr>
          <w:p w14:paraId="593C96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原地攀登</w:t>
            </w:r>
          </w:p>
          <w:p w14:paraId="0FD737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六米拉梯</w:t>
            </w:r>
          </w:p>
          <w:p w14:paraId="193DAB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vAlign w:val="center"/>
          </w:tcPr>
          <w:p w14:paraId="0D61A9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234" w:leftChars="-73" w:right="-310" w:rightChars="-97"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25″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732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18A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20E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E77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521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C81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662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E38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733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eastAsia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C2A47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7BD8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6F7DFFA">
            <w:pPr>
              <w:widowControl/>
              <w:shd w:val="clear"/>
              <w:adjustRightInd w:val="0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74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3B3A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报考人员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佩戴消防员灭火防护头盔、腰带，扣好安全绳，从原地逐级攀登架设在训练塔窗口的六米拉梯，并进入二楼平台，记录时间。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3701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141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4109E665"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备    注</w:t>
            </w:r>
          </w:p>
        </w:tc>
        <w:tc>
          <w:tcPr>
            <w:tcW w:w="8122" w:type="dxa"/>
            <w:gridSpan w:val="2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FF8D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720" w:leftChars="150" w:hanging="240" w:hangingChars="100"/>
              <w:jc w:val="left"/>
              <w:textAlignment w:val="center"/>
              <w:rPr>
                <w:rFonts w:hint="default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1.单项科目分数需达到最低标准。</w:t>
            </w:r>
          </w:p>
          <w:p w14:paraId="69DCA6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720" w:leftChars="150" w:hanging="240" w:hangingChars="100"/>
              <w:jc w:val="left"/>
              <w:textAlignment w:val="center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2.每项满分25分，体技能成绩总分未达到80分不予聘用。</w:t>
            </w:r>
          </w:p>
          <w:p w14:paraId="76FC18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.测试项目及标准中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以上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”“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均含本级、本数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5A0FF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4.体技能测试实行合格制考核，“合格”即可进入下一环节，体技能成绩不计入总成绩核算。</w:t>
            </w:r>
          </w:p>
        </w:tc>
      </w:tr>
    </w:tbl>
    <w:p w14:paraId="150187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924CD"/>
    <w:rsid w:val="49D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2026-03-30T00:48:00Z</dcterms:created>
  <dc:creator>小小荣同学</dc:creator>
  <cp:lastModifiedBy>小小荣同学</cp:lastModifiedBy>
  <dcterms:modified xsi:type="dcterms:W3CDTF">2026-03-30T00:49:04Z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747B6B49AAD54281A7881F638DD7B814_11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